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rPr/>
      </w:pPr>
      <w:bookmarkStart w:colFirst="0" w:colLast="0" w:name="_9gvcj5ge5h9b" w:id="0"/>
      <w:bookmarkEnd w:id="0"/>
      <w:r w:rsidDel="00000000" w:rsidR="00000000" w:rsidRPr="00000000">
        <w:rPr>
          <w:rtl w:val="0"/>
        </w:rPr>
        <w:t xml:space="preserve">Brief „jméno Vašeho projektu“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p8knz9nm9wb8" w:id="1"/>
      <w:bookmarkEnd w:id="1"/>
      <w:r w:rsidDel="00000000" w:rsidR="00000000" w:rsidRPr="00000000">
        <w:rPr>
          <w:rtl w:val="0"/>
        </w:rPr>
        <w:t xml:space="preserve">Produkty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vh3vee28qgy" w:id="2"/>
      <w:bookmarkEnd w:id="2"/>
      <w:r w:rsidDel="00000000" w:rsidR="00000000" w:rsidRPr="00000000">
        <w:rPr>
          <w:rtl w:val="0"/>
        </w:rPr>
        <w:t xml:space="preserve">Cílové skupiny, persony a jejich potřeby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w3sq1is0s511" w:id="3"/>
      <w:bookmarkEnd w:id="3"/>
      <w:r w:rsidDel="00000000" w:rsidR="00000000" w:rsidRPr="00000000">
        <w:rPr>
          <w:rtl w:val="0"/>
        </w:rPr>
        <w:t xml:space="preserve">Účel a cíle webu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wq4ogqm4bnnq" w:id="4"/>
      <w:bookmarkEnd w:id="4"/>
      <w:r w:rsidDel="00000000" w:rsidR="00000000" w:rsidRPr="00000000">
        <w:rPr>
          <w:rtl w:val="0"/>
        </w:rPr>
        <w:t xml:space="preserve">Geografická působnost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uyn3jknnzsrz" w:id="5"/>
      <w:bookmarkEnd w:id="5"/>
      <w:r w:rsidDel="00000000" w:rsidR="00000000" w:rsidRPr="00000000">
        <w:rPr>
          <w:rtl w:val="0"/>
        </w:rPr>
        <w:t xml:space="preserve">Konkurenční výhody, USP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wc1b3tbpfhj5" w:id="6"/>
      <w:bookmarkEnd w:id="6"/>
      <w:r w:rsidDel="00000000" w:rsidR="00000000" w:rsidRPr="00000000">
        <w:rPr>
          <w:rtl w:val="0"/>
        </w:rPr>
        <w:t xml:space="preserve">Čím vzbudit důvěryhodnost, dokázat přísliby a odbornost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9mmw8rm1uobu" w:id="7"/>
      <w:bookmarkEnd w:id="7"/>
      <w:r w:rsidDel="00000000" w:rsidR="00000000" w:rsidRPr="00000000">
        <w:rPr>
          <w:rtl w:val="0"/>
        </w:rPr>
        <w:t xml:space="preserve">Hlavní konkurence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gb8ptuz9yq1r" w:id="8"/>
      <w:bookmarkEnd w:id="8"/>
      <w:r w:rsidDel="00000000" w:rsidR="00000000" w:rsidRPr="00000000">
        <w:rPr>
          <w:rtl w:val="0"/>
        </w:rPr>
        <w:t xml:space="preserve">Komunikační styl</w:t>
      </w:r>
    </w:p>
    <w:p w:rsidR="00000000" w:rsidDel="00000000" w:rsidP="00000000" w:rsidRDefault="00000000" w:rsidRPr="00000000">
      <w:pPr>
        <w:pBdr/>
        <w:spacing w:after="240" w:befor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befor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befor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befor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befor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befor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befor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before="240" w:lineRule="auto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======================================================================</w:t>
      </w:r>
    </w:p>
    <w:p w:rsidR="00000000" w:rsidDel="00000000" w:rsidP="00000000" w:rsidRDefault="00000000" w:rsidRPr="00000000">
      <w:pPr>
        <w:pBdr/>
        <w:spacing w:after="240" w:before="240" w:lineRule="auto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Příklad vyplněného dokumentu s prvotními informacemi k analýze projektu.</w:t>
      </w:r>
    </w:p>
    <w:p w:rsidR="00000000" w:rsidDel="00000000" w:rsidP="00000000" w:rsidRDefault="00000000" w:rsidRPr="00000000">
      <w:pPr>
        <w:pBdr/>
        <w:spacing w:after="240" w:befor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======================================================================</w:t>
      </w:r>
    </w:p>
    <w:p w:rsidR="00000000" w:rsidDel="00000000" w:rsidP="00000000" w:rsidRDefault="00000000" w:rsidRPr="00000000">
      <w:pPr>
        <w:pStyle w:val="Title"/>
        <w:pBdr/>
        <w:spacing w:after="240" w:before="240" w:lineRule="auto"/>
        <w:contextualSpacing w:val="0"/>
        <w:jc w:val="center"/>
        <w:rPr>
          <w:color w:val="666666"/>
        </w:rPr>
      </w:pPr>
      <w:bookmarkStart w:colFirst="0" w:colLast="0" w:name="_ir9bidvdcw1n" w:id="9"/>
      <w:bookmarkEnd w:id="9"/>
      <w:r w:rsidDel="00000000" w:rsidR="00000000" w:rsidRPr="00000000">
        <w:rPr>
          <w:color w:val="666666"/>
          <w:rtl w:val="0"/>
        </w:rPr>
        <w:t xml:space="preserve">Brief Domov Slunce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Domov Slunce je příspěvkovou organizací zřizovanou Karlovarským krajem.</w:t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highlight w:val="white"/>
          <w:rtl w:val="0"/>
        </w:rPr>
        <w:t xml:space="preserve">Posláním Domova Slunce je zlepšovat kvalitu života lidí se zdravotním postižením, podporovat jejich osobní růst, rozvoj schopností a zachování samostatnosti, motivovat klienty v řešení jejich nepříznivé sociální situace a napomáhat jim při sociálním začleňování.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color w:val="1155cc"/>
        </w:rPr>
      </w:pPr>
      <w:bookmarkStart w:colFirst="0" w:colLast="0" w:name="_nu9b617rtdvb" w:id="10"/>
      <w:bookmarkEnd w:id="10"/>
      <w:r w:rsidDel="00000000" w:rsidR="00000000" w:rsidRPr="00000000">
        <w:rPr>
          <w:rtl w:val="0"/>
        </w:rPr>
        <w:t xml:space="preserve">Produkty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Domov Slunce je poskytovatelem sociálních služeb, které zajišťuje v hlavním předmětu činnosti tyto sociální služby: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domovy pro osoby se zdravotním postižením - poskytuje pobytovou sociální službu klientům od 2 let věku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chráněné bydlení - služba je poskytována klientům od 18 do 90 let věku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odlehčovací služby - služba je poskytována klientům od 2 do 90 let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denní stacionář - služba je poskytována klientům od 2 do 90 let věku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sociálně terapeutické dílny - služba je poskytována klientům od 15 do 90 let věku</w:t>
      </w:r>
    </w:p>
    <w:p w:rsidR="00000000" w:rsidDel="00000000" w:rsidP="00000000" w:rsidRDefault="00000000" w:rsidRPr="00000000">
      <w:pPr>
        <w:pStyle w:val="Heading2"/>
        <w:pBdr/>
        <w:spacing w:line="276" w:lineRule="auto"/>
        <w:contextualSpacing w:val="0"/>
        <w:rPr/>
      </w:pPr>
      <w:bookmarkStart w:colFirst="0" w:colLast="0" w:name="_w37b3c2jkg02" w:id="11"/>
      <w:bookmarkEnd w:id="11"/>
      <w:r w:rsidDel="00000000" w:rsidR="00000000" w:rsidRPr="00000000">
        <w:rPr>
          <w:b w:val="0"/>
          <w:sz w:val="36"/>
          <w:szCs w:val="36"/>
          <w:rtl w:val="0"/>
        </w:rPr>
        <w:t xml:space="preserve">Cílové skupiny, persony a jejich potřeby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zájemci, žadatelé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veřejnost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zřizovatel - Karlovarský kraj – celkový zájem o organizaci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inspekce kvality – kontrola zveřejněných údajů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obecní úřady s rozšířenou působností - kontakty, informace o poskytovaných službách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další úřady, instituce (ÚP, ČSSZ, Okresní soudy, zdravotní zařízení - LDN, psychiatrické léčebny)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studenti - informace o poskytovaných službách, možnosti praxe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44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dobrovolníci - informace o poskytovaných službách, aktuality, informace o dobrovolné činnosti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patrovníci, rodinní příslušníci zájemců, žadatelů - informace o poskytovaných službách, kapacitě, sociální poradenství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zaměstnanci - aktuality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zájemci o zaměstnání - nabídky práce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tabs>
          <w:tab w:val="left" w:pos="720"/>
        </w:tabs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sponzoři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tabs>
          <w:tab w:val="left" w:pos="720"/>
        </w:tabs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zahraniční partneři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276" w:lineRule="auto"/>
        <w:contextualSpacing w:val="0"/>
        <w:rPr/>
      </w:pPr>
      <w:bookmarkStart w:colFirst="0" w:colLast="0" w:name="_63jc8i2av2n4" w:id="12"/>
      <w:bookmarkEnd w:id="12"/>
      <w:r w:rsidDel="00000000" w:rsidR="00000000" w:rsidRPr="00000000">
        <w:rPr>
          <w:b w:val="0"/>
          <w:sz w:val="36"/>
          <w:szCs w:val="36"/>
          <w:rtl w:val="0"/>
        </w:rPr>
        <w:t xml:space="preserve">Účel a cíle webu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elkové informace o organizaci pro jednotlivé cílové skupiny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informace o aktuálním dění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splnění zákonné povinnosti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získání větší informovanosti veřejnosti o nabízených službách</w:t>
      </w:r>
    </w:p>
    <w:p w:rsidR="00000000" w:rsidDel="00000000" w:rsidP="00000000" w:rsidRDefault="00000000" w:rsidRPr="00000000">
      <w:pPr>
        <w:pStyle w:val="Heading2"/>
        <w:pBdr/>
        <w:spacing w:line="276" w:lineRule="auto"/>
        <w:contextualSpacing w:val="0"/>
        <w:rPr/>
      </w:pPr>
      <w:bookmarkStart w:colFirst="0" w:colLast="0" w:name="_7jgn17xj7dzq" w:id="13"/>
      <w:bookmarkEnd w:id="13"/>
      <w:r w:rsidDel="00000000" w:rsidR="00000000" w:rsidRPr="00000000">
        <w:rPr>
          <w:b w:val="0"/>
          <w:sz w:val="36"/>
          <w:szCs w:val="36"/>
          <w:rtl w:val="0"/>
        </w:rPr>
        <w:t xml:space="preserve">Geografická působnost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jc w:val="both"/>
        <w:rPr>
          <w:u w:val="none"/>
        </w:rPr>
      </w:pPr>
      <w:bookmarkStart w:colFirst="0" w:colLast="0" w:name="_hszg9of66ok2" w:id="14"/>
      <w:bookmarkEnd w:id="14"/>
      <w:r w:rsidDel="00000000" w:rsidR="00000000" w:rsidRPr="00000000">
        <w:rPr>
          <w:rtl w:val="0"/>
        </w:rPr>
        <w:t xml:space="preserve">Karlovarský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jc w:val="both"/>
        <w:rPr>
          <w:u w:val="none"/>
        </w:rPr>
      </w:pPr>
      <w:bookmarkStart w:colFirst="0" w:colLast="0" w:name="_hdaop5zdlnrt" w:id="15"/>
      <w:bookmarkEnd w:id="15"/>
      <w:r w:rsidDel="00000000" w:rsidR="00000000" w:rsidRPr="00000000">
        <w:rPr>
          <w:rtl w:val="0"/>
        </w:rPr>
        <w:t xml:space="preserve">celá ČR - orgány s celostátní působností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jc w:val="both"/>
        <w:rPr/>
      </w:pPr>
      <w:bookmarkStart w:colFirst="0" w:colLast="0" w:name="_3dy6vkm" w:id="16"/>
      <w:bookmarkEnd w:id="16"/>
      <w:r w:rsidDel="00000000" w:rsidR="00000000" w:rsidRPr="00000000">
        <w:rPr>
          <w:rtl w:val="0"/>
        </w:rPr>
        <w:t xml:space="preserve">anglická verze (základní informace)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276" w:lineRule="auto"/>
        <w:contextualSpacing w:val="0"/>
        <w:rPr>
          <w:b w:val="0"/>
          <w:sz w:val="36"/>
          <w:szCs w:val="36"/>
        </w:rPr>
      </w:pPr>
      <w:bookmarkStart w:colFirst="0" w:colLast="0" w:name="_l0bi6j7m1v3l" w:id="17"/>
      <w:bookmarkEnd w:id="17"/>
      <w:r w:rsidDel="00000000" w:rsidR="00000000" w:rsidRPr="00000000">
        <w:rPr>
          <w:b w:val="0"/>
          <w:sz w:val="36"/>
          <w:szCs w:val="36"/>
          <w:rtl w:val="0"/>
        </w:rPr>
        <w:t xml:space="preserve">Konkurenční výhody, USP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krásné prostředí uprostřed přírody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odborné vybavení pro péči o lidi s vysokou mírou podpory - stropní, zvedací a asistenční zařízení, které umožňuje klientům pohyb po celé budově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tabs>
          <w:tab w:val="left" w:pos="720"/>
        </w:tabs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sociální služby komunitního typu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tabs>
          <w:tab w:val="left" w:pos="720"/>
        </w:tabs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terapie - arteterapie, muzikoterapie, canisterapie, hipoterapie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volnočasové aktivity - keramika, šicí dílna, aranžování, výroba z pedigu, výroba bižuterie, vaření, pěvecký a taneční soubor</w:t>
      </w:r>
    </w:p>
    <w:p w:rsidR="00000000" w:rsidDel="00000000" w:rsidP="00000000" w:rsidRDefault="00000000" w:rsidRPr="00000000">
      <w:pPr>
        <w:pStyle w:val="Heading2"/>
        <w:pBdr/>
        <w:spacing w:line="276" w:lineRule="auto"/>
        <w:contextualSpacing w:val="0"/>
        <w:rPr/>
      </w:pPr>
      <w:bookmarkStart w:colFirst="0" w:colLast="0" w:name="_z9ozad16wg3i" w:id="18"/>
      <w:bookmarkEnd w:id="18"/>
      <w:r w:rsidDel="00000000" w:rsidR="00000000" w:rsidRPr="00000000">
        <w:rPr>
          <w:b w:val="0"/>
          <w:sz w:val="36"/>
          <w:szCs w:val="36"/>
          <w:rtl w:val="0"/>
        </w:rPr>
        <w:t xml:space="preserve">Čím vzbudit důvěryhodnost, dokázat přísliby a odbornost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tabs>
          <w:tab w:val="left" w:pos="720"/>
        </w:tabs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kvalifikovaní zaměstnanci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tabs>
          <w:tab w:val="left" w:pos="720"/>
        </w:tabs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dlouhodobá spolupráce se zahraničními partnery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výborné výsledky při inspekci kvality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účast na veřejných vystoupeních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tabs>
          <w:tab w:val="left" w:pos="720"/>
        </w:tabs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služby jsou zařazeny do sítě sociálních služeb Karlovarského kraje</w:t>
      </w:r>
    </w:p>
    <w:p w:rsidR="00000000" w:rsidDel="00000000" w:rsidP="00000000" w:rsidRDefault="00000000" w:rsidRPr="00000000">
      <w:pPr>
        <w:pStyle w:val="Heading2"/>
        <w:pBdr/>
        <w:spacing w:line="276" w:lineRule="auto"/>
        <w:contextualSpacing w:val="0"/>
        <w:rPr/>
      </w:pPr>
      <w:bookmarkStart w:colFirst="0" w:colLast="0" w:name="_fwn21r51u8sy" w:id="19"/>
      <w:bookmarkEnd w:id="19"/>
      <w:r w:rsidDel="00000000" w:rsidR="00000000" w:rsidRPr="00000000">
        <w:rPr>
          <w:b w:val="0"/>
          <w:sz w:val="36"/>
          <w:szCs w:val="36"/>
          <w:rtl w:val="0"/>
        </w:rPr>
        <w:t xml:space="preserve">Hlavní konkurence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V sociálních službách nemůžeme zcela hovořit o konkurenčním prostředí. U žadatelů a jejich opatrovníků stále převládá potřebnost okamžitého přijetí do sociální služby a tím i řešení nepříznivé sociální situace. Nicméně pokud máme někoho označit za konkurenta, byl by to </w:t>
      </w:r>
      <w:r w:rsidDel="00000000" w:rsidR="00000000" w:rsidRPr="00000000">
        <w:rPr>
          <w:rtl w:val="0"/>
        </w:rPr>
        <w:t xml:space="preserve">Domov pro seniory v Lázních Kynžvart.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276" w:lineRule="auto"/>
        <w:contextualSpacing w:val="0"/>
        <w:rPr/>
      </w:pPr>
      <w:bookmarkStart w:colFirst="0" w:colLast="0" w:name="_vghg98j7m04n" w:id="20"/>
      <w:bookmarkEnd w:id="20"/>
      <w:r w:rsidDel="00000000" w:rsidR="00000000" w:rsidRPr="00000000">
        <w:rPr>
          <w:b w:val="0"/>
          <w:sz w:val="36"/>
          <w:szCs w:val="36"/>
          <w:rtl w:val="0"/>
        </w:rPr>
        <w:t xml:space="preserve">Komunikační styl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jednoduchý a přehledný pro běžného uživatele webu. Nejčastějšími návštěvníky našich stránek jsou zájemci o naši službu, jejich opatrovníci a rodiny.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návštěvníkům na webu budeme vykat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before="200" w:line="276" w:lineRule="auto"/>
      <w:contextualSpacing w:val="1"/>
    </w:pPr>
    <w:rPr>
      <w:rFonts w:ascii="Trebuchet MS" w:cs="Trebuchet MS" w:eastAsia="Trebuchet MS" w:hAnsi="Trebuchet MS"/>
      <w:color w:val="66666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240" w:line="276" w:lineRule="auto"/>
      <w:contextualSpacing w:val="1"/>
    </w:pPr>
    <w:rPr>
      <w:rFonts w:ascii="Trebuchet MS" w:cs="Trebuchet MS" w:eastAsia="Trebuchet MS" w:hAnsi="Trebuchet MS"/>
      <w:color w:val="1155cc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240" w:before="240" w:lineRule="auto"/>
      <w:contextualSpacing w:val="1"/>
      <w:jc w:val="center"/>
    </w:pPr>
    <w:rPr>
      <w:rFonts w:ascii="Trebuchet MS" w:cs="Trebuchet MS" w:eastAsia="Trebuchet MS" w:hAnsi="Trebuchet MS"/>
      <w:color w:val="666666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